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E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437D8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437D88">
        <w:rPr>
          <w:rFonts w:ascii="Times New Roman" w:hAnsi="Times New Roman" w:cs="Times New Roman"/>
          <w:b w:val="0"/>
          <w:color w:val="auto"/>
          <w:sz w:val="24"/>
          <w:szCs w:val="24"/>
        </w:rPr>
        <w:t>БСК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37D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437D88">
        <w:rPr>
          <w:rFonts w:ascii="Times New Roman" w:hAnsi="Times New Roman" w:cs="Times New Roman"/>
          <w:color w:val="auto"/>
          <w:sz w:val="24"/>
          <w:szCs w:val="24"/>
        </w:rPr>
        <w:t>БСК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1C2A6E" w:rsidRDefault="001C2A6E" w:rsidP="001C2A6E"/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6A0ECD">
        <w:rPr>
          <w:rFonts w:ascii="Times New Roman" w:hAnsi="Times New Roman" w:cs="Times New Roman"/>
          <w:sz w:val="24"/>
          <w:szCs w:val="24"/>
        </w:rPr>
        <w:t>лица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43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1C2A6E">
              <w:rPr>
                <w:rFonts w:ascii="Times New Roman" w:hAnsi="Times New Roman" w:cs="Times New Roman"/>
                <w:i/>
              </w:rPr>
              <w:t>О</w:t>
            </w:r>
            <w:r w:rsidR="00437D88">
              <w:rPr>
                <w:rFonts w:ascii="Times New Roman" w:hAnsi="Times New Roman" w:cs="Times New Roman"/>
                <w:i/>
              </w:rPr>
              <w:t>О</w:t>
            </w:r>
            <w:r w:rsidR="001C2A6E">
              <w:rPr>
                <w:rFonts w:ascii="Times New Roman" w:hAnsi="Times New Roman" w:cs="Times New Roman"/>
                <w:i/>
              </w:rPr>
              <w:t>О «</w:t>
            </w:r>
            <w:r w:rsidR="00437D88">
              <w:rPr>
                <w:rFonts w:ascii="Times New Roman" w:hAnsi="Times New Roman" w:cs="Times New Roman"/>
                <w:i/>
              </w:rPr>
              <w:t>БСК</w:t>
            </w:r>
            <w:r w:rsidR="001C2A6E">
              <w:rPr>
                <w:rFonts w:ascii="Times New Roman" w:hAnsi="Times New Roman" w:cs="Times New Roman"/>
                <w:i/>
              </w:rPr>
              <w:t>»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6A0ECD" w:rsidRDefault="00231805" w:rsidP="00CD1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6A0ECD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3677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 «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БСК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</w:t>
            </w:r>
          </w:p>
        </w:tc>
        <w:tc>
          <w:tcPr>
            <w:tcW w:w="789" w:type="pct"/>
          </w:tcPr>
          <w:p w:rsidR="00231805" w:rsidRPr="006A0ECD" w:rsidRDefault="00397C1F" w:rsidP="00D15D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заявителя </w:t>
            </w:r>
            <w:r w:rsidR="00D15D55" w:rsidRPr="00DB5075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2963F2" w:rsidP="00437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 «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БСК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="00C02B7A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,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397C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7C1F" w:rsidRPr="00DB50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43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 «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БСК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C02B7A" w:rsidP="00437D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 «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БСК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47"/>
        <w:gridCol w:w="1869"/>
        <w:gridCol w:w="2555"/>
        <w:gridCol w:w="2695"/>
        <w:gridCol w:w="2217"/>
        <w:gridCol w:w="1843"/>
        <w:gridCol w:w="2587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изменения в договор</w:t>
            </w:r>
          </w:p>
        </w:tc>
        <w:tc>
          <w:tcPr>
            <w:tcW w:w="89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с приложением документов, необходимых для внесения 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 договор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8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>
                <w:rPr>
                  <w:rStyle w:val="af1"/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дополнительного соглашения к договору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Плата за расторжение договора - оказания услуг по передаче электрической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энергии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получения письменного обращения заявителя о расторжении договора.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75"/>
        <w:gridCol w:w="1819"/>
        <w:gridCol w:w="2584"/>
        <w:gridCol w:w="2723"/>
        <w:gridCol w:w="2246"/>
        <w:gridCol w:w="1751"/>
        <w:gridCol w:w="2615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 договора</w:t>
            </w:r>
          </w:p>
        </w:tc>
        <w:tc>
          <w:tcPr>
            <w:tcW w:w="90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Расторжение договора не влечет за собой отсоединение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потребителя услуг (потребителя электрической энергии, в интересах которого заключается договор)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потребителей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 расторжении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 «БСК»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силу  подписанного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 расторжении договора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подписанного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заявителем  соглашения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0" w:type="pct"/>
        <w:tblInd w:w="108" w:type="dxa"/>
        <w:tblLook w:val="00A0" w:firstRow="1" w:lastRow="0" w:firstColumn="1" w:lastColumn="0" w:noHBand="0" w:noVBand="0"/>
      </w:tblPr>
      <w:tblGrid>
        <w:gridCol w:w="478"/>
        <w:gridCol w:w="1833"/>
        <w:gridCol w:w="2600"/>
        <w:gridCol w:w="2737"/>
        <w:gridCol w:w="2007"/>
        <w:gridCol w:w="1760"/>
        <w:gridCol w:w="2943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</w:t>
            </w:r>
            <w:proofErr w:type="gramStart"/>
            <w:r>
              <w:rPr>
                <w:rFonts w:ascii="Times New Roman" w:hAnsi="Times New Roman" w:cs="Times New Roman"/>
              </w:rPr>
              <w:t>на  объектах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электросетевого хозяйства </w:t>
            </w:r>
            <w:r>
              <w:rPr>
                <w:rFonts w:ascii="Times New Roman" w:hAnsi="Times New Roman" w:cs="Times New Roman"/>
                <w:i/>
              </w:rPr>
              <w:t>ООО «БСК»</w:t>
            </w:r>
          </w:p>
        </w:tc>
        <w:tc>
          <w:tcPr>
            <w:tcW w:w="905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</w:t>
            </w:r>
            <w:r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8C418C" w:rsidTr="008C418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</w:t>
            </w:r>
            <w:proofErr w:type="gramStart"/>
            <w:r>
              <w:rPr>
                <w:rFonts w:ascii="Times New Roman" w:hAnsi="Times New Roman" w:cs="Times New Roman"/>
              </w:rPr>
              <w:t>на  объектах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1.5. 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71"/>
        <w:gridCol w:w="1843"/>
        <w:gridCol w:w="2581"/>
        <w:gridCol w:w="2857"/>
        <w:gridCol w:w="2243"/>
        <w:gridCol w:w="1748"/>
        <w:gridCol w:w="2470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8C418C" w:rsidTr="008C418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1.6. 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метрологических характеристик прибора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71"/>
        <w:gridCol w:w="1822"/>
        <w:gridCol w:w="2580"/>
        <w:gridCol w:w="2859"/>
        <w:gridCol w:w="2242"/>
        <w:gridCol w:w="1747"/>
        <w:gridCol w:w="2492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5"/>
            </w:r>
          </w:p>
        </w:tc>
      </w:tr>
      <w:tr w:rsidR="008C418C" w:rsidTr="008C418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 xml:space="preserve">ООО «БСК»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указанный заявителем адрес 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</w:t>
            </w:r>
            <w:r>
              <w:rPr>
                <w:rFonts w:ascii="Times New Roman" w:hAnsi="Times New Roman" w:cs="Times New Roman"/>
              </w:rPr>
              <w:lastRenderedPageBreak/>
              <w:t>на объектах сетевой организации;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компонентов измерительных комплексов и систем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заявителем 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</w:tr>
    </w:tbl>
    <w:p w:rsidR="008C418C" w:rsidRDefault="008C418C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1.7. ДОПУСК В ЭКСПЛУАТАЦИЮ ПРИБОРА УЧЕТА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61"/>
        <w:gridCol w:w="1805"/>
        <w:gridCol w:w="2567"/>
        <w:gridCol w:w="2707"/>
        <w:gridCol w:w="2232"/>
        <w:gridCol w:w="2408"/>
        <w:gridCol w:w="2033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с уведомлением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7"/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заявке необходимых сведений: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 допуска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в отношении которых устанавливается прибор учета, если он отличается от собственника прибора учета </w:t>
            </w:r>
            <w:r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предложение новой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и времени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7 рабочих дней со дня получения его заявки, предложенная новая </w:t>
            </w:r>
            <w:r>
              <w:rPr>
                <w:rFonts w:ascii="Times New Roman" w:hAnsi="Times New Roman" w:cs="Times New Roman"/>
              </w:rPr>
              <w:lastRenderedPageBreak/>
              <w:t>дата не может быть позднее чем через 15 рабочих дней со дня получения заявки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</w:t>
            </w:r>
            <w:proofErr w:type="gramStart"/>
            <w:r>
              <w:rPr>
                <w:rFonts w:ascii="Times New Roman" w:hAnsi="Times New Roman" w:cs="Times New Roman"/>
              </w:rPr>
              <w:t>метрологическим  характеристикам</w:t>
            </w:r>
            <w:proofErr w:type="gramEnd"/>
            <w:r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акта с </w:t>
            </w:r>
            <w:proofErr w:type="gramStart"/>
            <w:r>
              <w:rPr>
                <w:rFonts w:ascii="Times New Roman" w:hAnsi="Times New Roman" w:cs="Times New Roman"/>
              </w:rPr>
              <w:t>отказом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установлении </w:t>
            </w:r>
            <w:r>
              <w:rPr>
                <w:rFonts w:ascii="Times New Roman" w:hAnsi="Times New Roman" w:cs="Times New Roman"/>
              </w:rPr>
              <w:lastRenderedPageBreak/>
              <w:t>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отказом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допуске прибора учета в эксплуатацию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рабочих дней со дня </w:t>
            </w:r>
            <w:r>
              <w:rPr>
                <w:rFonts w:ascii="Times New Roman" w:hAnsi="Times New Roman" w:cs="Times New Roman"/>
              </w:rPr>
              <w:lastRenderedPageBreak/>
              <w:t>проведения такой процедуры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0653F9" w:rsidRDefault="000653F9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1.8</w:t>
      </w: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. ПРИЕМ ПОКАЗАНИЙ ПРИБОРОВ УЧЕТА ОТ ПОТРЕБИТЕЛЯ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прием показаний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38"/>
        <w:gridCol w:w="2060"/>
        <w:gridCol w:w="2538"/>
        <w:gridCol w:w="2541"/>
        <w:gridCol w:w="2206"/>
        <w:gridCol w:w="2385"/>
        <w:gridCol w:w="2045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>ООО «БСК»</w:t>
            </w:r>
            <w:r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и </w:t>
            </w:r>
            <w:r>
              <w:rPr>
                <w:rFonts w:ascii="Times New Roman" w:hAnsi="Times New Roman" w:cs="Times New Roman"/>
                <w:i/>
              </w:rPr>
              <w:t>ООО «БСК»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8"/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lastRenderedPageBreak/>
              <w:t>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Если условиями </w:t>
            </w:r>
            <w:r>
              <w:rPr>
                <w:rFonts w:ascii="Times New Roman" w:hAnsi="Times New Roman" w:cs="Times New Roman"/>
              </w:rPr>
              <w:lastRenderedPageBreak/>
              <w:t>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</w:rPr>
              <w:lastRenderedPageBreak/>
              <w:t>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окончания 2-го </w:t>
            </w:r>
            <w:r>
              <w:rPr>
                <w:rFonts w:ascii="Times New Roman" w:hAnsi="Times New Roman" w:cs="Times New Roman"/>
              </w:rPr>
              <w:lastRenderedPageBreak/>
              <w:t>числа месяца, следующего за расчетным периодом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163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1.9</w:t>
      </w: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. ПРОВЕРКА, В ТОМ ЧИСЛЕ СНЯТИЕ ПОКАЗАНИЙ, ПРИБОРА УЧЕТА ПЕРЕД ЕГО ДЕМОНТАЖОМ ДЛЯ РЕМОНТА, ПОВЕРКИ ИЛИ ЗАМЕНЫ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проверка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78"/>
        <w:gridCol w:w="1819"/>
        <w:gridCol w:w="2581"/>
        <w:gridCol w:w="2581"/>
        <w:gridCol w:w="2248"/>
        <w:gridCol w:w="2425"/>
        <w:gridCol w:w="2081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9"/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даты и времени снятия показаний прибора учета и его осмотра перед </w:t>
            </w:r>
            <w:r>
              <w:rPr>
                <w:rFonts w:ascii="Times New Roman" w:hAnsi="Times New Roman" w:cs="Times New Roman"/>
              </w:rPr>
              <w:lastRenderedPageBreak/>
              <w:t>демонтажем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-реквизиты заявителя;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в отношении которых установлен </w:t>
            </w:r>
            <w:r>
              <w:rPr>
                <w:rFonts w:ascii="Times New Roman" w:hAnsi="Times New Roman" w:cs="Times New Roman"/>
              </w:rPr>
              <w:lastRenderedPageBreak/>
              <w:t>прибор учета;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проведения действий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 новой даты и времени, сели иной способ не согласован с заявителем при его обращении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3 </w:t>
            </w:r>
            <w:r>
              <w:rPr>
                <w:rFonts w:ascii="Times New Roman" w:hAnsi="Times New Roman" w:cs="Times New Roman"/>
              </w:rPr>
              <w:lastRenderedPageBreak/>
              <w:t>рабочих дней с даты, предложенной в заявке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1 рабочего дня со дня получения заявки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>) и измерительных трансформаторов (при их наличии).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Составление Акта проверки приборов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</w:t>
            </w:r>
            <w:r>
              <w:rPr>
                <w:rFonts w:ascii="Times New Roman" w:hAnsi="Times New Roman" w:cs="Times New Roman"/>
              </w:rPr>
              <w:lastRenderedPageBreak/>
              <w:t>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со дня проведения такой процедуры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1.1</w:t>
      </w: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0</w:t>
      </w: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. РАСЧЕТ ОБЪЕМА ПЕРЕДАННОЙ ЭЛЕКТРИЧЕСКОЙ ЭНЕРГИИ ПОТРЕБИТЕЛЮ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передаче электрической энергии, процесс осуществляется в рамках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 потребителю.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526"/>
        <w:gridCol w:w="2060"/>
        <w:gridCol w:w="2550"/>
        <w:gridCol w:w="2599"/>
        <w:gridCol w:w="1871"/>
        <w:gridCol w:w="2389"/>
        <w:gridCol w:w="2218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8C418C" w:rsidRDefault="008C418C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заключенного с ООО «БСК» 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за расчетным </w:t>
            </w:r>
          </w:p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double" w:sz="4" w:space="0" w:color="4F81BD" w:themeColor="accent1"/>
              <w:left w:val="nil"/>
            </w:tcBorders>
          </w:tcPr>
          <w:p w:rsidR="008C418C" w:rsidRDefault="008C418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161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0"/>
            </w:r>
          </w:p>
          <w:p w:rsidR="008C418C" w:rsidRDefault="008C418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приборов учета от потребителя, в том числе используемых в качестве расчетных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приборов учета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заключенного с ООО «БСК» 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уведомление, с использованием телефонной связи, электронной почты или иным способом, </w:t>
            </w:r>
            <w:r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161, 163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 показаниям расчетных </w:t>
            </w:r>
            <w:r>
              <w:rPr>
                <w:rFonts w:ascii="Times New Roman" w:hAnsi="Times New Roman" w:cs="Times New Roman"/>
              </w:rPr>
              <w:lastRenderedPageBreak/>
              <w:t>приборов учета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Потребителем своевременно представлены показания приборов учета, </w:t>
            </w:r>
            <w:proofErr w:type="gramStart"/>
            <w:r>
              <w:rPr>
                <w:rFonts w:ascii="Times New Roman" w:hAnsi="Times New Roman" w:cs="Times New Roman"/>
              </w:rPr>
              <w:t>или  получены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объемов </w:t>
            </w:r>
            <w:proofErr w:type="gramStart"/>
            <w:r>
              <w:rPr>
                <w:rFonts w:ascii="Times New Roman" w:hAnsi="Times New Roman" w:cs="Times New Roman"/>
              </w:rPr>
              <w:t>переданной  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показаний </w:t>
            </w:r>
            <w:proofErr w:type="gramStart"/>
            <w:r>
              <w:rPr>
                <w:rFonts w:ascii="Times New Roman" w:hAnsi="Times New Roman" w:cs="Times New Roman"/>
              </w:rPr>
              <w:t>расчетных  приборов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-юридическими </w:t>
            </w:r>
            <w:proofErr w:type="gramStart"/>
            <w:r>
              <w:rPr>
                <w:rFonts w:ascii="Times New Roman" w:hAnsi="Times New Roman" w:cs="Times New Roman"/>
              </w:rPr>
              <w:t>лицами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1-го и 2-го </w:t>
            </w:r>
            <w:r>
              <w:rPr>
                <w:rFonts w:ascii="Times New Roman" w:hAnsi="Times New Roman" w:cs="Times New Roman"/>
              </w:rPr>
              <w:lastRenderedPageBreak/>
              <w:t>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счетчиков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 за 1-ый и 2-ой расчетные периоды подряд исходя из показаний расчетного </w:t>
            </w:r>
            <w:r>
              <w:rPr>
                <w:rFonts w:ascii="Times New Roman" w:hAnsi="Times New Roman" w:cs="Times New Roman"/>
              </w:rPr>
              <w:lastRenderedPageBreak/>
              <w:t>прибора учета электроэнергии за аналогичный период предыдущего года, а в случае отсутствия данных за аналогичный период предыдущего года — на основании показаний расчетного прибора учета за ближайший расчетный период, когда такие показания были предоставлены;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</w:t>
            </w:r>
            <w:proofErr w:type="gramStart"/>
            <w:r>
              <w:rPr>
                <w:rFonts w:ascii="Times New Roman" w:hAnsi="Times New Roman" w:cs="Times New Roman"/>
              </w:rPr>
              <w:t>организации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2 числа месяца, следующего за расчетным: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юридическими лицами более 2-х 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в отсутствие показаний приборов </w:t>
            </w:r>
            <w:proofErr w:type="gramStart"/>
            <w:r>
              <w:rPr>
                <w:rFonts w:ascii="Times New Roman" w:hAnsi="Times New Roman" w:cs="Times New Roman"/>
              </w:rPr>
              <w:t>учета  осуществляется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</w:t>
            </w:r>
            <w:proofErr w:type="gramStart"/>
            <w:r>
              <w:rPr>
                <w:rFonts w:ascii="Times New Roman" w:hAnsi="Times New Roman" w:cs="Times New Roman"/>
              </w:rPr>
              <w:t>лиц,  начиная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3-го и в последующие периоды подряд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>
              <w:rPr>
                <w:rFonts w:ascii="Times New Roman" w:hAnsi="Times New Roman" w:cs="Times New Roman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</w:t>
            </w:r>
            <w:proofErr w:type="gramStart"/>
            <w:r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потребителем прибора учета, выход из строя прибора учета, истечение срока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 прибора учета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в случае демонтажа </w:t>
            </w:r>
            <w:proofErr w:type="gramStart"/>
            <w:r>
              <w:rPr>
                <w:rFonts w:ascii="Times New Roman" w:hAnsi="Times New Roman" w:cs="Times New Roman"/>
              </w:rPr>
              <w:t>счетчика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демонтажа, в случае если с даты (а если дату события установить невозможно, то с расчетного периода, в котором наступили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указанные события) демонтажа, утраты, выхода из строя прошло не более 2 расчетных периодов подряд, а для жилых помещений – не более 3 расчетных периодов подряд.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прибора учета, в том числе, в случаях утраты, выхода из строя, истечения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интервала, демонтажа прибора учета, если с даты, когда наступили указанные события, а если дату установить </w:t>
            </w:r>
            <w:proofErr w:type="gramStart"/>
            <w:r>
              <w:rPr>
                <w:rFonts w:ascii="Times New Roman" w:hAnsi="Times New Roman" w:cs="Times New Roman"/>
              </w:rPr>
              <w:t>невозможно,  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начиная с расчетного периода, в котором наступили указанные события, прошло  более 2 расчетных периодов подряд и более 3 расчетных периодов подряд для жилого помещения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объемов переданной электрической энергии </w:t>
            </w:r>
            <w:proofErr w:type="gramStart"/>
            <w:r>
              <w:rPr>
                <w:rFonts w:ascii="Times New Roman" w:hAnsi="Times New Roman" w:cs="Times New Roman"/>
              </w:rPr>
              <w:t>потребителю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случае отсутствия прибора учета электрической энергии осуществляется:</w:t>
            </w:r>
          </w:p>
          <w:p w:rsidR="008C418C" w:rsidRDefault="008C41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потребителей юридических лиц, за исключением исполнителей и потребителей коммунальной услуги по электроснабжению, в соответствии с п.4.3. настоящего Паспорта.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</w:t>
            </w:r>
            <w:proofErr w:type="gramStart"/>
            <w:r>
              <w:rPr>
                <w:rFonts w:ascii="Times New Roman" w:hAnsi="Times New Roman" w:cs="Times New Roman"/>
              </w:rPr>
              <w:t>потребителю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указанных случаях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потребителей юридических лиц, за исключением исполнителей коммунальной услуги по электроснабжению и потребителей с потребляемой мощностью менее 5 кВт - расчетным </w:t>
            </w:r>
            <w:proofErr w:type="gramStart"/>
            <w:r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исполнителей коммунальной услуги по электроснабжению и потребителей коммунальной услуги по электроснабжению - исходя из нормативов потребления электрической энергии с учетом повышающих коэффициентов.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Для  потребителей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потребляемой мощностью менее 5 кВт —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60, 60(1)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прибора учета не на границе балансовой принадлежности </w:t>
            </w:r>
            <w:r>
              <w:rPr>
                <w:rFonts w:ascii="Times New Roman" w:hAnsi="Times New Roman" w:cs="Times New Roman"/>
              </w:rPr>
              <w:lastRenderedPageBreak/>
              <w:t>потребителя и ООО «БСК»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по счетчику, подлежит корректировке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аттестованной методикой.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программного обеспечения и </w:t>
            </w:r>
            <w:r>
              <w:rPr>
                <w:rFonts w:ascii="Times New Roman" w:hAnsi="Times New Roman" w:cs="Times New Roman"/>
              </w:rPr>
              <w:lastRenderedPageBreak/>
              <w:t>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10 числа </w:t>
            </w:r>
            <w:proofErr w:type="gramStart"/>
            <w:r>
              <w:rPr>
                <w:rFonts w:ascii="Times New Roman" w:hAnsi="Times New Roman" w:cs="Times New Roman"/>
              </w:rPr>
              <w:t>месяца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144, 189 Основ функционирования розничных рынков </w:t>
            </w:r>
            <w:r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электроэнергии.  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proofErr w:type="gramStart"/>
            <w:r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лиц, за исключением потребителей коммунальной услуги по электроснабжению, расчетным </w:t>
            </w:r>
            <w:proofErr w:type="gramStart"/>
            <w:r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  </w:t>
            </w:r>
            <w:r>
              <w:rPr>
                <w:rFonts w:ascii="Times New Roman" w:hAnsi="Times New Roman" w:cs="Times New Roman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дату осуществления несанкционированного вмешательства в работу прибора учета установить невозможно, то доначисление должно быть произведено начиная с даты проведения предыдущей проверки, но не более чем за 6 месяцев, предшествующих месяцу, в котором выявлено несанкционированное вмешательство в работу прибора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>
              <w:rPr>
                <w:rFonts w:ascii="Times New Roman" w:hAnsi="Times New Roman" w:cs="Times New Roman"/>
              </w:rPr>
              <w:t>безучетном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бездоговорного потребления электроэнергии и составления акта о </w:t>
            </w:r>
            <w:proofErr w:type="gramStart"/>
            <w:r>
              <w:rPr>
                <w:rFonts w:ascii="Times New Roman" w:hAnsi="Times New Roman" w:cs="Times New Roman"/>
              </w:rPr>
              <w:t>неучтенном  потреблении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электроэнергии.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электрической </w:t>
            </w:r>
            <w:proofErr w:type="gramStart"/>
            <w:r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производится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Для потребителей юридических лиц, за исключением потребителей коммунальной услуги по электроснабжению -  расчетным </w:t>
            </w:r>
            <w:proofErr w:type="gramStart"/>
            <w:r>
              <w:rPr>
                <w:rFonts w:ascii="Times New Roman" w:hAnsi="Times New Roman" w:cs="Times New Roman"/>
              </w:rPr>
              <w:t>способом  исходя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допустимой длительной токовой нагрузки каждого вводного провода (кабеля), за период времени в течение которого осуществлялось бездоговорное потребление электрической энергии (но не более, чем за 3 года)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дату </w:t>
            </w:r>
            <w:r>
              <w:rPr>
                <w:rFonts w:ascii="Times New Roman" w:hAnsi="Times New Roman" w:cs="Times New Roman"/>
              </w:rPr>
              <w:lastRenderedPageBreak/>
              <w:t>осуществления несанкционированного подключения к внешней (по отношению к занимаемому потребителем помещению) электрической сети установить невозможно, то доначисление должно быть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 момента составления акта о неучтенном потреблении</w:t>
            </w: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195,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1.11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 заявителей.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проверка соблюдения значений соотношений потреблённой активной и реактивной мощности.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55"/>
        <w:gridCol w:w="1799"/>
        <w:gridCol w:w="2561"/>
        <w:gridCol w:w="2696"/>
        <w:gridCol w:w="2224"/>
        <w:gridCol w:w="1885"/>
        <w:gridCol w:w="2593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и фиксация объемов мощности 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значения соотношения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реактивной и активной мощности.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наличии профилей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Расчет коэффициента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энергоузлов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предельное значение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9" w:history="1">
              <w:r>
                <w:rPr>
                  <w:rStyle w:val="af1"/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КОД 1.1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ООО «БСК» осуществляется проведение контрольных, внеочередных и иных замеров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8C418C" w:rsidRDefault="008C418C" w:rsidP="008C418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8C418C" w:rsidRDefault="008C418C" w:rsidP="008C418C">
      <w:pPr>
        <w:pStyle w:val="ConsPlusNonforma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8C418C" w:rsidRDefault="008C418C" w:rsidP="008C418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проведения контрольных, внеочередных и иных замеров.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50" w:type="pct"/>
        <w:tblInd w:w="108" w:type="dxa"/>
        <w:tblLook w:val="00A0" w:firstRow="1" w:lastRow="0" w:firstColumn="1" w:lastColumn="0" w:noHBand="0" w:noVBand="0"/>
      </w:tblPr>
      <w:tblGrid>
        <w:gridCol w:w="439"/>
        <w:gridCol w:w="1784"/>
        <w:gridCol w:w="2547"/>
        <w:gridCol w:w="2544"/>
        <w:gridCol w:w="2212"/>
        <w:gridCol w:w="1967"/>
        <w:gridCol w:w="2575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ООО «БСК»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ООО «БСК» задания от системного оператора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ООО «БСК»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потребителем замеров на принадлежащих потребителю объектах (устройствах), и 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результатов  замеров</w:t>
            </w:r>
            <w:proofErr w:type="gramEnd"/>
          </w:p>
        </w:tc>
        <w:tc>
          <w:tcPr>
            <w:tcW w:w="91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потребителем задания о проведении контрольного замера от ООО «БСК»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ему объектах (устройствах), в том числе обеспечение беспрепятственного доступа уполномоченных лиц ООО «БСК» к соответствующим объектам электросетевого хозяйства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электрической энергии, и (или) проведения 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8C418C" w:rsidRDefault="008C4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8C418C" w:rsidTr="008C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потребителем 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ООО «БСК»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потребителем 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ООО «БСК» для направления ООО «БСК»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И ПРЕДОСТАВЛЕНИЕ ПОТРЕБИТЕЛЮ АКТОВ БЕЗУЧЕТНОГО И БЕЗДОГОВОРНОГО ПОТРЕБЛЕНИЯ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процесс производится при условии выявления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БСК»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составленный надлежащим образом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69"/>
        <w:gridCol w:w="1837"/>
        <w:gridCol w:w="2575"/>
        <w:gridCol w:w="2715"/>
        <w:gridCol w:w="2240"/>
        <w:gridCol w:w="1745"/>
        <w:gridCol w:w="2632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137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5"/>
            </w:r>
          </w:p>
        </w:tc>
      </w:tr>
      <w:tr w:rsidR="008C418C" w:rsidTr="008C418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 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акта о неучтенном или бездоговорном потреблении электроэнергии.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 проверки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уполномоченного  представителя  (руководителя) проверяемого юридического лица с актом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оформленный в присутствии двух незаинтересованных свидетелей (оформляется, в случае противодействия лица (его представителя) проведению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позднее 3 рабочих дней с даты его составления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или  бездоговорного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 потребления электрической энергии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</w:t>
            </w:r>
            <w:r>
              <w:rPr>
                <w:rFonts w:ascii="Times New Roman" w:hAnsi="Times New Roman" w:cs="Times New Roman"/>
              </w:rPr>
              <w:lastRenderedPageBreak/>
              <w:t>о неучтенном потреблении электрической энергии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  счета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потребления,  лицу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осуществившему бездоговорное потребление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АКТОВ СОГЛАСОВАНИЯ ТЕХНОЛОГИЧЕСКОЙ И (ИЛИ) АВАРИЙНОЙ БРОНИ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ОБЩИЙ СРОК ОКАЗАНИЯ УСЛУГИ (ПРОЦЕССА): </w:t>
      </w:r>
      <w:r>
        <w:rPr>
          <w:rFonts w:ascii="Times New Roman" w:hAnsi="Times New Roman" w:cs="Times New Roman"/>
          <w:b/>
          <w:sz w:val="24"/>
          <w:szCs w:val="24"/>
        </w:rPr>
        <w:t>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 w:firstRow="1" w:lastRow="0" w:firstColumn="1" w:lastColumn="0" w:noHBand="0" w:noVBand="0"/>
      </w:tblPr>
      <w:tblGrid>
        <w:gridCol w:w="438"/>
        <w:gridCol w:w="2216"/>
        <w:gridCol w:w="2486"/>
        <w:gridCol w:w="2657"/>
        <w:gridCol w:w="2183"/>
        <w:gridCol w:w="1686"/>
        <w:gridCol w:w="2547"/>
      </w:tblGrid>
      <w:tr w:rsidR="008C418C" w:rsidTr="008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6"/>
            </w:r>
          </w:p>
        </w:tc>
      </w:tr>
      <w:tr w:rsidR="008C418C" w:rsidTr="008C418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проекта Акта в ООО «БСК».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ООО «БСК»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Акта, направляется 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ОАО «МРСК Урала» проекта Акта  </w:t>
            </w:r>
          </w:p>
        </w:tc>
        <w:tc>
          <w:tcPr>
            <w:tcW w:w="908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 рассмотрении проекта Акта сетевая организация вправе </w:t>
            </w:r>
            <w:r>
              <w:rPr>
                <w:rFonts w:ascii="Times New Roman" w:hAnsi="Times New Roman" w:cs="Times New Roman"/>
              </w:rPr>
              <w:lastRenderedPageBreak/>
              <w:t>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рабочих дней со дня </w:t>
            </w:r>
            <w:r>
              <w:rPr>
                <w:rFonts w:ascii="Times New Roman" w:hAnsi="Times New Roman" w:cs="Times New Roman"/>
              </w:rPr>
              <w:lastRenderedPageBreak/>
              <w:t>получения проекта указанного акта</w:t>
            </w:r>
          </w:p>
        </w:tc>
        <w:tc>
          <w:tcPr>
            <w:tcW w:w="919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C418C" w:rsidTr="008C418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 осмотра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10" w:history="1">
              <w:r>
                <w:rPr>
                  <w:rStyle w:val="af1"/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противоаварийной автоматики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418C" w:rsidTr="008C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потребителю </w:t>
            </w:r>
            <w:proofErr w:type="gramStart"/>
            <w:r>
              <w:rPr>
                <w:rFonts w:ascii="Times New Roman" w:hAnsi="Times New Roman" w:cs="Times New Roman"/>
              </w:rPr>
              <w:t>подписанного  Акта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замечаниями сетевой организацией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8C" w:rsidRDefault="008C418C" w:rsidP="008C41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450112,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Цветочная, 3/2, тел. (347) 269-33-59, факс (347) 284-48-72</w:t>
      </w:r>
    </w:p>
    <w:p w:rsidR="008C418C" w:rsidRDefault="008C418C" w:rsidP="008C41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bsk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bashkirenergo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8C418C" w:rsidRPr="008C418C" w:rsidRDefault="008C418C" w:rsidP="008C418C">
      <w:pPr>
        <w:ind w:firstLine="708"/>
        <w:rPr>
          <w:sz w:val="24"/>
          <w:szCs w:val="24"/>
        </w:rPr>
      </w:pPr>
    </w:p>
    <w:sectPr w:rsidR="008C418C" w:rsidRPr="008C418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9" w:rsidRDefault="00543CB9" w:rsidP="00DC7CA8">
      <w:pPr>
        <w:spacing w:after="0" w:line="240" w:lineRule="auto"/>
      </w:pPr>
      <w:r>
        <w:separator/>
      </w:r>
    </w:p>
  </w:endnote>
  <w:endnote w:type="continuationSeparator" w:id="0">
    <w:p w:rsidR="00543CB9" w:rsidRDefault="00543CB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9" w:rsidRDefault="00543CB9" w:rsidP="00DC7CA8">
      <w:pPr>
        <w:spacing w:after="0" w:line="240" w:lineRule="auto"/>
      </w:pPr>
      <w:r>
        <w:separator/>
      </w:r>
    </w:p>
  </w:footnote>
  <w:footnote w:type="continuationSeparator" w:id="0">
    <w:p w:rsidR="00543CB9" w:rsidRDefault="00543CB9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8C418C" w:rsidRDefault="008C418C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3">
    <w:p w:rsidR="008C418C" w:rsidRDefault="008C418C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4">
    <w:p w:rsidR="008C418C" w:rsidRDefault="008C418C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5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6">
    <w:p w:rsidR="008C418C" w:rsidRDefault="008C418C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7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8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9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0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1">
    <w:p w:rsidR="008C418C" w:rsidRDefault="008C418C" w:rsidP="008C418C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12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13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4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  <w:footnote w:id="15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6"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96F5F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2ABB"/>
    <w:rsid w:val="002963F2"/>
    <w:rsid w:val="002978AF"/>
    <w:rsid w:val="002A3BA1"/>
    <w:rsid w:val="0032200A"/>
    <w:rsid w:val="00326913"/>
    <w:rsid w:val="00347A15"/>
    <w:rsid w:val="00367738"/>
    <w:rsid w:val="00397C1F"/>
    <w:rsid w:val="003A6292"/>
    <w:rsid w:val="003C556E"/>
    <w:rsid w:val="003D4D3D"/>
    <w:rsid w:val="003F5301"/>
    <w:rsid w:val="00405B1D"/>
    <w:rsid w:val="00437D88"/>
    <w:rsid w:val="00443775"/>
    <w:rsid w:val="004A4D60"/>
    <w:rsid w:val="004B6243"/>
    <w:rsid w:val="00543CB9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8418E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3D5B"/>
    <w:rsid w:val="008C2E25"/>
    <w:rsid w:val="008C418C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16BC"/>
    <w:rsid w:val="00CA664F"/>
    <w:rsid w:val="00CC1A0A"/>
    <w:rsid w:val="00CC211B"/>
    <w:rsid w:val="00CD1AB4"/>
    <w:rsid w:val="00CE54D7"/>
    <w:rsid w:val="00D15D55"/>
    <w:rsid w:val="00D47D80"/>
    <w:rsid w:val="00D679FC"/>
    <w:rsid w:val="00DA1300"/>
    <w:rsid w:val="00DB5075"/>
    <w:rsid w:val="00DC7CA8"/>
    <w:rsid w:val="00E36F56"/>
    <w:rsid w:val="00E5056E"/>
    <w:rsid w:val="00E53D9B"/>
    <w:rsid w:val="00E557B2"/>
    <w:rsid w:val="00EA53BE"/>
    <w:rsid w:val="00EA5EF9"/>
    <w:rsid w:val="00EE2C63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18D5-A37A-4F7E-87F3-9A50965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C4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893CEED4BD5151001E6F66E2F227DD92B6F6047CA4DF7B43E321664C0DD935B6875D09C1429CC8Y0m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3E262118F82F2790178C320FEF314B3DE2040F5D67989067FE657ABDA0242003A6B5DF9B9D8y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DBF-4899-4649-8983-08F635D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Архипов Сергей Александрович</cp:lastModifiedBy>
  <cp:revision>2</cp:revision>
  <cp:lastPrinted>2014-08-01T10:40:00Z</cp:lastPrinted>
  <dcterms:created xsi:type="dcterms:W3CDTF">2016-10-06T08:50:00Z</dcterms:created>
  <dcterms:modified xsi:type="dcterms:W3CDTF">2016-10-06T08:50:00Z</dcterms:modified>
</cp:coreProperties>
</file>